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818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</w:tblGrid>
      <w:tr w:rsidR="00145059" w:rsidRPr="00145059" w:rsidTr="00145059">
        <w:trPr>
          <w:tblCellSpacing w:w="7" w:type="dxa"/>
        </w:trPr>
        <w:tc>
          <w:tcPr>
            <w:tcW w:w="0" w:type="auto"/>
            <w:tcMar>
              <w:top w:w="153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horzAnchor="margin" w:tblpY="2390"/>
              <w:tblOverlap w:val="never"/>
              <w:tblW w:w="2256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48"/>
            </w:tblGrid>
            <w:tr w:rsidR="00145059" w:rsidRPr="00145059" w:rsidTr="0014505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45059" w:rsidRPr="00145059" w:rsidRDefault="00145059" w:rsidP="0014505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286000" cy="1906905"/>
                        <wp:effectExtent l="19050" t="0" r="0" b="0"/>
                        <wp:docPr id="1" name="圖片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06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5059" w:rsidRPr="00145059" w:rsidTr="00145059">
              <w:trPr>
                <w:tblCellSpacing w:w="7" w:type="dxa"/>
              </w:trPr>
              <w:tc>
                <w:tcPr>
                  <w:tcW w:w="0" w:type="auto"/>
                  <w:noWrap/>
                  <w:hideMark/>
                </w:tcPr>
                <w:p w:rsidR="00145059" w:rsidRPr="00145059" w:rsidRDefault="00145059" w:rsidP="0014505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45059" w:rsidRPr="00145059" w:rsidRDefault="00145059" w:rsidP="0014505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在反核聲浪越來越大的民意下，台中市明道普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霖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斯頓小學外籍教師卡門教導小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學生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一千隻紙鶴祈禱世界和平，7月1日並將把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紙鶴寄往日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本廣島和平公園，以表達小朋友們反核反戰的心意。</w:t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外籍教師卡門在學校服務近三年多，對教育充滿熱情與熱誠，一次在進行世界之窗課程時，介紹核子炸彈造成輻射汙染等議題，讓學生們意識到戰爭的殘酷。卡門老師表示，五月份正逢雨季，學生們經常被困在教室，無法進行室外運動，於是她利用下課時間教導學生如何摺紙鶴。學生不僅認識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千隻紙鶴的由來，還訓練他們的小肌肉發展。在全班三十五位學生齊心努力下，短短一個月的時間，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出一千隻紙鶴，祈禱世界和平。</w:t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學生曾亭瑄利用下課10分鐘便可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出五隻紙鶴，她說：「一開始覺得很複雜，後來經過許多次的練習，越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越有興趣，每到下課，大家都在比賽誰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摺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得比較多。」</w:t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一千隻紙鶴在年僅7歲學童的努力下終於完成，他們預計七月一日將所有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紙鶴寄往日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本廣島和平紀念公園，日本單位也表示收到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紙鶴後會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放於和平紀念公園的展覽室，並致贈感謝狀給學校。</w:t>
            </w: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  <w:p w:rsidR="00145059" w:rsidRPr="00145059" w:rsidRDefault="00145059" w:rsidP="00145059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(2013-06-27 16:56:21 </w:t>
            </w:r>
            <w:proofErr w:type="gramStart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常維鈞</w:t>
            </w:r>
            <w:proofErr w:type="gramEnd"/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</w:tbl>
    <w:p w:rsidR="00145059" w:rsidRPr="00145059" w:rsidRDefault="00145059" w:rsidP="0014505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</w:tblGrid>
      <w:tr w:rsidR="00145059" w:rsidRPr="00145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059" w:rsidRPr="00145059" w:rsidRDefault="00145059" w:rsidP="001450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45059">
              <w:rPr>
                <w:rFonts w:ascii="新細明體" w:eastAsia="新細明體" w:hAnsi="新細明體" w:cs="新細明體"/>
                <w:kern w:val="0"/>
                <w:szCs w:val="24"/>
              </w:rPr>
              <w:t>點選下列控制項兩下，以便播放新聞相關聲音檔</w:t>
            </w:r>
          </w:p>
        </w:tc>
      </w:tr>
      <w:tr w:rsidR="00145059" w:rsidRPr="00145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059" w:rsidRPr="00145059" w:rsidRDefault="00145059" w:rsidP="001450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60AA7" w:rsidRDefault="00145059">
      <w:pPr>
        <w:rPr>
          <w:rFonts w:hint="eastAsia"/>
        </w:rPr>
      </w:pPr>
      <w:r>
        <w:rPr>
          <w:rFonts w:hint="eastAsia"/>
        </w:rPr>
        <w:t>教育廣播電台</w:t>
      </w:r>
      <w:hyperlink r:id="rId5" w:history="1">
        <w:r w:rsidRPr="004675C0">
          <w:rPr>
            <w:rStyle w:val="a5"/>
          </w:rPr>
          <w:t>http://www.ner.gov.tw/index.php?act=culnews&amp;code=view&amp;ids=151225</w:t>
        </w:r>
      </w:hyperlink>
    </w:p>
    <w:p w:rsidR="00145059" w:rsidRPr="00145059" w:rsidRDefault="00145059">
      <w:r>
        <w:rPr>
          <w:rFonts w:hint="eastAsia"/>
        </w:rPr>
        <w:t>日期</w:t>
      </w:r>
      <w:r>
        <w:rPr>
          <w:rFonts w:hint="eastAsia"/>
        </w:rPr>
        <w:t>: 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sectPr w:rsidR="00145059" w:rsidRPr="00145059" w:rsidSect="00A60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059"/>
    <w:rsid w:val="000D06C0"/>
    <w:rsid w:val="00145059"/>
    <w:rsid w:val="008A0353"/>
    <w:rsid w:val="008A4C79"/>
    <w:rsid w:val="00A60AA7"/>
    <w:rsid w:val="00AA09FA"/>
    <w:rsid w:val="00C37E35"/>
    <w:rsid w:val="00DD5243"/>
    <w:rsid w:val="00F7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50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0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.gov.tw/index.php?act=culnews&amp;code=view&amp;ids=1512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FHBES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</dc:creator>
  <cp:keywords/>
  <dc:description/>
  <cp:lastModifiedBy>PC000</cp:lastModifiedBy>
  <cp:revision>1</cp:revision>
  <dcterms:created xsi:type="dcterms:W3CDTF">2013-06-28T02:23:00Z</dcterms:created>
  <dcterms:modified xsi:type="dcterms:W3CDTF">2013-06-28T02:28:00Z</dcterms:modified>
</cp:coreProperties>
</file>